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4D3" w:rsidRDefault="00DD14D3" w:rsidP="001B0E25">
      <w:pPr>
        <w:spacing w:before="0" w:after="0"/>
        <w:jc w:val="both"/>
        <w:rPr>
          <w:rFonts w:ascii="Times New Roman" w:hAnsi="Times New Roman" w:cs="Times New Roman"/>
          <w:sz w:val="22"/>
          <w:szCs w:val="22"/>
        </w:rPr>
      </w:pPr>
    </w:p>
    <w:p w:rsidR="004A5037" w:rsidRDefault="004A5037" w:rsidP="001B0E25">
      <w:pPr>
        <w:spacing w:before="0" w:after="0"/>
        <w:jc w:val="both"/>
        <w:rPr>
          <w:rFonts w:ascii="Times New Roman" w:hAnsi="Times New Roman" w:cs="Times New Roman"/>
          <w:sz w:val="22"/>
          <w:szCs w:val="22"/>
        </w:rPr>
      </w:pPr>
    </w:p>
    <w:p w:rsidR="004A5037" w:rsidRDefault="004A5037" w:rsidP="001B0E25">
      <w:pPr>
        <w:spacing w:before="0" w:after="0"/>
        <w:jc w:val="both"/>
        <w:rPr>
          <w:rFonts w:ascii="Times New Roman" w:hAnsi="Times New Roman" w:cs="Times New Roman"/>
          <w:sz w:val="22"/>
          <w:szCs w:val="22"/>
        </w:rPr>
      </w:pPr>
    </w:p>
    <w:p w:rsidR="00DD14D3" w:rsidRDefault="00DD14D3" w:rsidP="001B0E25">
      <w:pPr>
        <w:spacing w:before="0" w:after="0"/>
        <w:ind w:left="4956" w:firstLine="708"/>
        <w:jc w:val="both"/>
        <w:rPr>
          <w:rFonts w:ascii="Times New Roman" w:hAnsi="Times New Roman" w:cs="Times New Roman"/>
          <w:sz w:val="22"/>
          <w:szCs w:val="22"/>
        </w:rPr>
      </w:pPr>
      <w:r>
        <w:rPr>
          <w:rFonts w:ascii="Times New Roman" w:hAnsi="Times New Roman" w:cs="Times New Roman"/>
          <w:sz w:val="22"/>
          <w:szCs w:val="22"/>
        </w:rPr>
        <w:t>Świętochłowice, 6 kwietnia 2018 r.</w:t>
      </w:r>
    </w:p>
    <w:p w:rsidR="00DD14D3" w:rsidRDefault="00DD14D3" w:rsidP="001B0E25">
      <w:pPr>
        <w:spacing w:before="0" w:after="0"/>
        <w:jc w:val="both"/>
        <w:rPr>
          <w:rFonts w:ascii="Times New Roman" w:hAnsi="Times New Roman" w:cs="Times New Roman"/>
          <w:sz w:val="22"/>
          <w:szCs w:val="22"/>
        </w:rPr>
      </w:pPr>
    </w:p>
    <w:p w:rsidR="00DD14D3" w:rsidRDefault="00DD14D3" w:rsidP="001B0E25">
      <w:pPr>
        <w:spacing w:before="0" w:after="0"/>
        <w:jc w:val="both"/>
        <w:rPr>
          <w:rFonts w:ascii="Times New Roman" w:hAnsi="Times New Roman" w:cs="Times New Roman"/>
          <w:sz w:val="22"/>
          <w:szCs w:val="22"/>
        </w:rPr>
      </w:pPr>
    </w:p>
    <w:p w:rsidR="00DD14D3" w:rsidRPr="00DD14D3" w:rsidRDefault="00DD14D3" w:rsidP="001B0E25">
      <w:pPr>
        <w:spacing w:before="0" w:after="0"/>
        <w:jc w:val="both"/>
        <w:rPr>
          <w:rFonts w:ascii="Times New Roman" w:hAnsi="Times New Roman" w:cs="Times New Roman"/>
          <w:sz w:val="22"/>
          <w:szCs w:val="22"/>
          <w:u w:val="single"/>
        </w:rPr>
      </w:pPr>
      <w:r>
        <w:rPr>
          <w:rFonts w:ascii="Times New Roman" w:hAnsi="Times New Roman" w:cs="Times New Roman"/>
          <w:sz w:val="22"/>
          <w:szCs w:val="22"/>
        </w:rPr>
        <w:tab/>
      </w:r>
      <w:r>
        <w:rPr>
          <w:rFonts w:ascii="Times New Roman" w:hAnsi="Times New Roman" w:cs="Times New Roman"/>
          <w:sz w:val="22"/>
          <w:szCs w:val="22"/>
        </w:rPr>
        <w:tab/>
      </w:r>
      <w:r w:rsidRPr="00DD14D3">
        <w:rPr>
          <w:rFonts w:ascii="Times New Roman" w:hAnsi="Times New Roman" w:cs="Times New Roman"/>
          <w:sz w:val="22"/>
          <w:szCs w:val="22"/>
          <w:u w:val="single"/>
        </w:rPr>
        <w:t>Wynik rozpatrzenia skargi uczestnika przetargu złożonej w dniu 30 marca 2018 r.</w:t>
      </w:r>
    </w:p>
    <w:p w:rsidR="00DD14D3" w:rsidRPr="00DD14D3" w:rsidRDefault="00DD14D3" w:rsidP="001B0E25">
      <w:pPr>
        <w:spacing w:before="0" w:after="0"/>
        <w:jc w:val="both"/>
        <w:rPr>
          <w:rFonts w:ascii="Times New Roman" w:hAnsi="Times New Roman" w:cs="Times New Roman"/>
          <w:sz w:val="22"/>
          <w:szCs w:val="22"/>
          <w:u w:val="single"/>
        </w:rPr>
      </w:pPr>
      <w:r w:rsidRPr="00DD14D3">
        <w:rPr>
          <w:rFonts w:ascii="Times New Roman" w:hAnsi="Times New Roman" w:cs="Times New Roman"/>
          <w:sz w:val="22"/>
          <w:szCs w:val="22"/>
          <w:u w:val="single"/>
        </w:rPr>
        <w:t xml:space="preserve">na czynności związane z przeprowadzeniem przetargu, który miał miejsce w dniu 23 marca 2018 r.                                          w sprawie oddania w użytkowanie wieczyste nieruchomości położonej w Świętochłowicach                         przy Górze Hugona </w:t>
      </w:r>
    </w:p>
    <w:p w:rsidR="00DD14D3" w:rsidRDefault="00DD14D3" w:rsidP="001B0E25">
      <w:pPr>
        <w:spacing w:before="0" w:after="0"/>
        <w:jc w:val="both"/>
        <w:rPr>
          <w:rFonts w:ascii="Times New Roman" w:hAnsi="Times New Roman" w:cs="Times New Roman"/>
          <w:sz w:val="22"/>
          <w:szCs w:val="22"/>
        </w:rPr>
      </w:pPr>
    </w:p>
    <w:p w:rsidR="00DD14D3" w:rsidRDefault="00DD14D3" w:rsidP="001B0E25">
      <w:pPr>
        <w:spacing w:before="0" w:after="0"/>
        <w:jc w:val="both"/>
        <w:rPr>
          <w:rFonts w:ascii="Times New Roman" w:hAnsi="Times New Roman" w:cs="Times New Roman"/>
          <w:b/>
          <w:sz w:val="22"/>
          <w:szCs w:val="22"/>
        </w:rPr>
      </w:pPr>
      <w:r w:rsidRPr="00DD14D3">
        <w:rPr>
          <w:rFonts w:ascii="Times New Roman" w:hAnsi="Times New Roman" w:cs="Times New Roman"/>
          <w:b/>
          <w:sz w:val="22"/>
          <w:szCs w:val="22"/>
        </w:rPr>
        <w:t>Prezydent Miasta Świętochłowice uznaje skargę za niezasadną</w:t>
      </w:r>
    </w:p>
    <w:p w:rsidR="001B0E25" w:rsidRPr="00DD14D3" w:rsidRDefault="001B0E25" w:rsidP="001B0E25">
      <w:pPr>
        <w:spacing w:before="0" w:after="0"/>
        <w:jc w:val="both"/>
        <w:rPr>
          <w:rFonts w:ascii="Times New Roman" w:hAnsi="Times New Roman" w:cs="Times New Roman"/>
          <w:b/>
          <w:sz w:val="22"/>
          <w:szCs w:val="22"/>
        </w:rPr>
      </w:pPr>
    </w:p>
    <w:p w:rsidR="00DD14D3" w:rsidRPr="00DD14D3" w:rsidRDefault="00DD14D3" w:rsidP="001B0E25">
      <w:pPr>
        <w:pStyle w:val="NormalnyWeb"/>
        <w:spacing w:before="0" w:beforeAutospacing="0" w:after="0" w:afterAutospacing="0" w:line="360" w:lineRule="auto"/>
        <w:jc w:val="center"/>
        <w:rPr>
          <w:sz w:val="22"/>
          <w:szCs w:val="22"/>
          <w:u w:val="single"/>
        </w:rPr>
      </w:pPr>
      <w:r w:rsidRPr="00DD14D3">
        <w:rPr>
          <w:sz w:val="22"/>
          <w:szCs w:val="22"/>
          <w:u w:val="single"/>
        </w:rPr>
        <w:t>Uzasadnienie</w:t>
      </w:r>
    </w:p>
    <w:p w:rsidR="00B8727F" w:rsidRDefault="00E75A44" w:rsidP="00EA0B84">
      <w:pPr>
        <w:pStyle w:val="NormalnyWeb"/>
        <w:spacing w:before="0" w:beforeAutospacing="0" w:after="0" w:afterAutospacing="0" w:line="360" w:lineRule="auto"/>
        <w:ind w:firstLine="708"/>
        <w:jc w:val="both"/>
        <w:rPr>
          <w:bCs/>
          <w:sz w:val="22"/>
          <w:szCs w:val="22"/>
        </w:rPr>
      </w:pPr>
      <w:r>
        <w:rPr>
          <w:sz w:val="22"/>
          <w:szCs w:val="22"/>
        </w:rPr>
        <w:t xml:space="preserve">Treść </w:t>
      </w:r>
      <w:r w:rsidR="004D2A69" w:rsidRPr="00DD14D3">
        <w:rPr>
          <w:sz w:val="22"/>
          <w:szCs w:val="22"/>
        </w:rPr>
        <w:t xml:space="preserve">§ 11 ust. 4 rozporządzenia z dnia 14 września 2004 r. w sprawie sposobu i trybu przeprowadzania przetargów oraz rokowań na zbycie nieruchomości (Dz. U. </w:t>
      </w:r>
      <w:r w:rsidR="00656859">
        <w:rPr>
          <w:sz w:val="22"/>
          <w:szCs w:val="22"/>
        </w:rPr>
        <w:t>z 2014 r., poz. 1490</w:t>
      </w:r>
      <w:r w:rsidR="004D2A69" w:rsidRPr="00DD14D3">
        <w:rPr>
          <w:sz w:val="22"/>
          <w:szCs w:val="22"/>
        </w:rPr>
        <w:t xml:space="preserve">) nie daje odpowiedzi na pytanie, czy każde </w:t>
      </w:r>
      <w:r>
        <w:rPr>
          <w:sz w:val="22"/>
          <w:szCs w:val="22"/>
        </w:rPr>
        <w:t xml:space="preserve">nawet najdrobniejsze </w:t>
      </w:r>
      <w:r w:rsidR="004D2A69" w:rsidRPr="00DD14D3">
        <w:rPr>
          <w:sz w:val="22"/>
          <w:szCs w:val="22"/>
        </w:rPr>
        <w:t xml:space="preserve">uchybienie przepisom o przetargu powoduje konieczność powtórzenia czynności albo unieważnienia przetargu. </w:t>
      </w:r>
      <w:r w:rsidR="001B0E25" w:rsidRPr="00DD14D3">
        <w:rPr>
          <w:sz w:val="22"/>
          <w:szCs w:val="22"/>
        </w:rPr>
        <w:t>W pewnym stopniu kwestie te są</w:t>
      </w:r>
      <w:r w:rsidR="001B0E25">
        <w:rPr>
          <w:sz w:val="22"/>
          <w:szCs w:val="22"/>
        </w:rPr>
        <w:t xml:space="preserve"> wyjaśniane przez orzecznictwo </w:t>
      </w:r>
      <w:r>
        <w:rPr>
          <w:sz w:val="22"/>
          <w:szCs w:val="22"/>
        </w:rPr>
        <w:t>Sądu Najwyższego</w:t>
      </w:r>
      <w:r w:rsidR="001B0E25">
        <w:rPr>
          <w:sz w:val="22"/>
          <w:szCs w:val="22"/>
        </w:rPr>
        <w:t xml:space="preserve">. Zdaniem Sądu Najwyższego </w:t>
      </w:r>
      <w:r w:rsidR="00EA0B84">
        <w:rPr>
          <w:sz w:val="22"/>
          <w:szCs w:val="22"/>
        </w:rPr>
        <w:t xml:space="preserve">             </w:t>
      </w:r>
      <w:r w:rsidR="001B0E25">
        <w:rPr>
          <w:sz w:val="22"/>
          <w:szCs w:val="22"/>
        </w:rPr>
        <w:t>w oparciu o c</w:t>
      </w:r>
      <w:r w:rsidR="004D2A69" w:rsidRPr="00DD14D3">
        <w:rPr>
          <w:sz w:val="22"/>
          <w:szCs w:val="22"/>
        </w:rPr>
        <w:t xml:space="preserve">harakter regulacji prawnej rozporządzenia oraz cel zawartych </w:t>
      </w:r>
      <w:r w:rsidR="001B0E25">
        <w:rPr>
          <w:sz w:val="22"/>
          <w:szCs w:val="22"/>
        </w:rPr>
        <w:t xml:space="preserve"> </w:t>
      </w:r>
      <w:r w:rsidR="004D2A69" w:rsidRPr="00DD14D3">
        <w:rPr>
          <w:sz w:val="22"/>
          <w:szCs w:val="22"/>
        </w:rPr>
        <w:t xml:space="preserve">w nim przepisów </w:t>
      </w:r>
      <w:r w:rsidR="001B0E25">
        <w:rPr>
          <w:sz w:val="22"/>
          <w:szCs w:val="22"/>
        </w:rPr>
        <w:t>można</w:t>
      </w:r>
      <w:r w:rsidR="004D2A69" w:rsidRPr="00DD14D3">
        <w:rPr>
          <w:sz w:val="22"/>
          <w:szCs w:val="22"/>
        </w:rPr>
        <w:t xml:space="preserve"> stwierdzić, że nie wszystkie są przepisami bezwzględnie obowiązującymi. Taki charakter mają jedynie przepisy służące zagwarantowaniu przestrzegania zasad przetargu, których naruszenie może mieć wpływ na wynik przetargu. Chodzi między innymi o przepisy dotyczące obowiązku przeprowadzenia przetargu (art. 37 ust.1 </w:t>
      </w:r>
      <w:proofErr w:type="spellStart"/>
      <w:r w:rsidR="004D2A69" w:rsidRPr="00DD14D3">
        <w:rPr>
          <w:sz w:val="22"/>
          <w:szCs w:val="22"/>
        </w:rPr>
        <w:t>u.g.n</w:t>
      </w:r>
      <w:proofErr w:type="spellEnd"/>
      <w:r w:rsidR="004D2A69" w:rsidRPr="00DD14D3">
        <w:rPr>
          <w:sz w:val="22"/>
          <w:szCs w:val="22"/>
        </w:rPr>
        <w:t xml:space="preserve">.), jawności przetargu, jednolitości postępowania, równego dostępu do udziału w przetargu, ustalania najkorzystniejszego wyniku przetargu (art. 42 ust.1 </w:t>
      </w:r>
      <w:proofErr w:type="spellStart"/>
      <w:r w:rsidR="004D2A69" w:rsidRPr="00DD14D3">
        <w:rPr>
          <w:sz w:val="22"/>
          <w:szCs w:val="22"/>
        </w:rPr>
        <w:t>u.g.n</w:t>
      </w:r>
      <w:proofErr w:type="spellEnd"/>
      <w:r w:rsidR="004D2A69" w:rsidRPr="00DD14D3">
        <w:rPr>
          <w:sz w:val="22"/>
          <w:szCs w:val="22"/>
        </w:rPr>
        <w:t xml:space="preserve">.). </w:t>
      </w:r>
      <w:r w:rsidR="004A5037" w:rsidRPr="00DD14D3">
        <w:rPr>
          <w:sz w:val="22"/>
          <w:szCs w:val="22"/>
        </w:rPr>
        <w:t>(wyrok SN</w:t>
      </w:r>
      <w:r w:rsidR="00EA0B84">
        <w:rPr>
          <w:sz w:val="22"/>
          <w:szCs w:val="22"/>
        </w:rPr>
        <w:t xml:space="preserve">    </w:t>
      </w:r>
      <w:r w:rsidR="004A5037" w:rsidRPr="00DD14D3">
        <w:rPr>
          <w:sz w:val="22"/>
          <w:szCs w:val="22"/>
        </w:rPr>
        <w:t xml:space="preserve"> z 30 s</w:t>
      </w:r>
      <w:r w:rsidR="004A5037">
        <w:rPr>
          <w:sz w:val="22"/>
          <w:szCs w:val="22"/>
        </w:rPr>
        <w:t xml:space="preserve">tycznia 2009 r., II CSK 437/08). </w:t>
      </w:r>
      <w:r w:rsidR="004D2A69" w:rsidRPr="00DD14D3">
        <w:rPr>
          <w:sz w:val="22"/>
          <w:szCs w:val="22"/>
        </w:rPr>
        <w:t xml:space="preserve">Trzeba też stwierdzić, że nie zawsze naruszenia nawet przepisów zaliczanych </w:t>
      </w:r>
      <w:r w:rsidR="00EA0B84">
        <w:rPr>
          <w:sz w:val="22"/>
          <w:szCs w:val="22"/>
        </w:rPr>
        <w:t xml:space="preserve">  </w:t>
      </w:r>
      <w:r w:rsidR="004D2A69" w:rsidRPr="00DD14D3">
        <w:rPr>
          <w:sz w:val="22"/>
          <w:szCs w:val="22"/>
        </w:rPr>
        <w:t>do pierwszej grupy, będzie uzasadniało unieważnienie przetargu. Takiego skutku nie mogą mieć bowiem uchybienia nie naruszające praw osób biorących udział w przetargu ani nie mogące mieć wpływu na przebieg i wynik przetargu.</w:t>
      </w:r>
      <w:r w:rsidR="00D971D1" w:rsidRPr="00DD14D3">
        <w:rPr>
          <w:sz w:val="22"/>
          <w:szCs w:val="22"/>
        </w:rPr>
        <w:t xml:space="preserve"> Ze zgromadzonego materiału wynika, </w:t>
      </w:r>
      <w:r w:rsidR="00EA0B84">
        <w:rPr>
          <w:sz w:val="22"/>
          <w:szCs w:val="22"/>
        </w:rPr>
        <w:t xml:space="preserve">            </w:t>
      </w:r>
      <w:r w:rsidR="00D971D1" w:rsidRPr="00DD14D3">
        <w:rPr>
          <w:sz w:val="22"/>
          <w:szCs w:val="22"/>
        </w:rPr>
        <w:t xml:space="preserve">że wszystkie czynności w ramach przetargu, w tym również sama licytacja przeprowadzone zostały prawidłowo. </w:t>
      </w:r>
      <w:r w:rsidR="00656859">
        <w:rPr>
          <w:sz w:val="22"/>
          <w:szCs w:val="22"/>
        </w:rPr>
        <w:t xml:space="preserve">Wszyscy uczestnicy byli należycie umocowani, złożyli oświadczenie o znajomości stanu technicznego, prawnego i faktycznego nieruchomości. Wpłacili określone w ogłoszeniu o przetargu wadium </w:t>
      </w:r>
      <w:r w:rsidR="00B8727F">
        <w:rPr>
          <w:sz w:val="22"/>
          <w:szCs w:val="22"/>
        </w:rPr>
        <w:t>we wskazanym w nim terminie i we wskazanej wysokości.</w:t>
      </w:r>
      <w:r w:rsidR="00656859">
        <w:rPr>
          <w:sz w:val="22"/>
          <w:szCs w:val="22"/>
        </w:rPr>
        <w:t xml:space="preserve"> W </w:t>
      </w:r>
      <w:r w:rsidR="00D971D1" w:rsidRPr="00DD14D3">
        <w:rPr>
          <w:sz w:val="22"/>
          <w:szCs w:val="22"/>
        </w:rPr>
        <w:t>ślad za poglądem Sądu Najwyższego, nie zawsze nawet naruszenie zasad przetargu mogących mieć wpływ na wynik przetargu, będzie uzasadniało unieważnienie przetargu, albowiem takiego skutku nie mogą mieć uchybienia nie naruszające praw os</w:t>
      </w:r>
      <w:r w:rsidR="00656859">
        <w:rPr>
          <w:sz w:val="22"/>
          <w:szCs w:val="22"/>
        </w:rPr>
        <w:t xml:space="preserve">ób biorących udział w przetargu. </w:t>
      </w:r>
      <w:r w:rsidR="00DD14D3" w:rsidRPr="00DD14D3">
        <w:rPr>
          <w:bCs/>
          <w:sz w:val="22"/>
          <w:szCs w:val="22"/>
        </w:rPr>
        <w:t xml:space="preserve">Nie każdy błąd będzie stanowić przesłankę unieważnienia przetargu. </w:t>
      </w:r>
    </w:p>
    <w:p w:rsidR="00B8727F" w:rsidRDefault="00B8727F" w:rsidP="001B0E25">
      <w:pPr>
        <w:pStyle w:val="NormalnyWeb"/>
        <w:spacing w:before="0" w:beforeAutospacing="0" w:after="0" w:afterAutospacing="0" w:line="360" w:lineRule="auto"/>
        <w:jc w:val="both"/>
        <w:rPr>
          <w:bCs/>
          <w:sz w:val="22"/>
          <w:szCs w:val="22"/>
        </w:rPr>
      </w:pPr>
    </w:p>
    <w:p w:rsidR="00DD14D3" w:rsidRPr="00B8727F" w:rsidRDefault="00DD14D3" w:rsidP="001B0E25">
      <w:pPr>
        <w:pStyle w:val="NormalnyWeb"/>
        <w:spacing w:before="0" w:beforeAutospacing="0" w:after="0" w:afterAutospacing="0" w:line="360" w:lineRule="auto"/>
        <w:jc w:val="both"/>
        <w:rPr>
          <w:bCs/>
          <w:sz w:val="22"/>
          <w:szCs w:val="22"/>
        </w:rPr>
      </w:pPr>
      <w:r w:rsidRPr="00DD14D3">
        <w:rPr>
          <w:bCs/>
          <w:sz w:val="22"/>
          <w:szCs w:val="22"/>
        </w:rPr>
        <w:t xml:space="preserve">Unieważnienie powinno mieć miejsce wówczas, gdy można zasadnie przypuszczać, </w:t>
      </w:r>
      <w:r w:rsidR="00B8727F">
        <w:rPr>
          <w:bCs/>
          <w:sz w:val="22"/>
          <w:szCs w:val="22"/>
        </w:rPr>
        <w:t xml:space="preserve">                                </w:t>
      </w:r>
      <w:r w:rsidRPr="00DD14D3">
        <w:rPr>
          <w:bCs/>
          <w:sz w:val="22"/>
          <w:szCs w:val="22"/>
        </w:rPr>
        <w:t>że bez popełnionego błędu wynik przetargu mógłby być inny od uzyskanego.</w:t>
      </w:r>
      <w:r w:rsidR="00656859">
        <w:rPr>
          <w:bCs/>
          <w:sz w:val="22"/>
          <w:szCs w:val="22"/>
        </w:rPr>
        <w:t xml:space="preserve"> </w:t>
      </w:r>
      <w:r w:rsidRPr="00DD14D3">
        <w:rPr>
          <w:sz w:val="22"/>
          <w:szCs w:val="22"/>
        </w:rPr>
        <w:t>Zbycie nieruchomości gminnej stanowi czynność prawa cywilnego. SN wskazał, że podstawą unieważnienia umowy zawartej na podstawie przetargu jest negatywna ocena zachowania strony umowy zawartej w wyniku przetargu, jego uczestnika lub osoby trzeciej działającej w porozumieniu</w:t>
      </w:r>
      <w:r w:rsidR="00656859">
        <w:rPr>
          <w:sz w:val="22"/>
          <w:szCs w:val="22"/>
        </w:rPr>
        <w:t xml:space="preserve"> </w:t>
      </w:r>
      <w:r w:rsidRPr="00DD14D3">
        <w:rPr>
          <w:sz w:val="22"/>
          <w:szCs w:val="22"/>
        </w:rPr>
        <w:t xml:space="preserve">z nimi, które jest sprzeczne </w:t>
      </w:r>
      <w:r w:rsidR="00B8727F">
        <w:rPr>
          <w:sz w:val="22"/>
          <w:szCs w:val="22"/>
        </w:rPr>
        <w:t xml:space="preserve">    </w:t>
      </w:r>
      <w:r w:rsidRPr="00DD14D3">
        <w:rPr>
          <w:sz w:val="22"/>
          <w:szCs w:val="22"/>
        </w:rPr>
        <w:t xml:space="preserve">z prawem lub zasadami współżycia społecznego i wpłynęło na wynik przetargu (wyrok SN z 6 marca 2009 r., </w:t>
      </w:r>
      <w:r w:rsidR="00B8727F">
        <w:rPr>
          <w:sz w:val="22"/>
          <w:szCs w:val="22"/>
        </w:rPr>
        <w:t xml:space="preserve"> </w:t>
      </w:r>
      <w:r w:rsidRPr="00DD14D3">
        <w:rPr>
          <w:sz w:val="22"/>
          <w:szCs w:val="22"/>
        </w:rPr>
        <w:t xml:space="preserve">II CSK 589/08, LEX nr 530697). Sprzeczność z zasadami współżycia społecznego (dobrymi obyczajami) wiązać się będzie </w:t>
      </w:r>
      <w:r w:rsidR="00B8727F">
        <w:rPr>
          <w:sz w:val="22"/>
          <w:szCs w:val="22"/>
        </w:rPr>
        <w:t xml:space="preserve"> z</w:t>
      </w:r>
      <w:r w:rsidRPr="00DD14D3">
        <w:rPr>
          <w:sz w:val="22"/>
          <w:szCs w:val="22"/>
        </w:rPr>
        <w:t xml:space="preserve"> ochroną równych szans dla uczestników przetargu.</w:t>
      </w:r>
      <w:r w:rsidR="001B0E25">
        <w:rPr>
          <w:sz w:val="22"/>
          <w:szCs w:val="22"/>
        </w:rPr>
        <w:t xml:space="preserve"> </w:t>
      </w:r>
    </w:p>
    <w:p w:rsidR="004A5037" w:rsidRPr="00DD14D3" w:rsidRDefault="004A5037" w:rsidP="001B0E25">
      <w:pPr>
        <w:pStyle w:val="NormalnyWeb"/>
        <w:spacing w:before="0" w:beforeAutospacing="0" w:after="0" w:afterAutospacing="0" w:line="360" w:lineRule="auto"/>
        <w:jc w:val="both"/>
        <w:rPr>
          <w:sz w:val="22"/>
          <w:szCs w:val="22"/>
        </w:rPr>
      </w:pPr>
      <w:r>
        <w:rPr>
          <w:sz w:val="22"/>
          <w:szCs w:val="22"/>
        </w:rPr>
        <w:t>Odnosząc się do podniesionych przez skarżącego zarzutów wskazano j.n.</w:t>
      </w:r>
    </w:p>
    <w:p w:rsidR="00412A95" w:rsidRPr="00DD14D3" w:rsidRDefault="00412A95" w:rsidP="000A3D96">
      <w:pPr>
        <w:pStyle w:val="bodytext"/>
        <w:spacing w:before="0" w:beforeAutospacing="0" w:after="0" w:afterAutospacing="0" w:line="360" w:lineRule="auto"/>
        <w:ind w:firstLine="708"/>
        <w:jc w:val="both"/>
        <w:rPr>
          <w:sz w:val="22"/>
          <w:szCs w:val="22"/>
        </w:rPr>
      </w:pPr>
      <w:r w:rsidRPr="00DD14D3">
        <w:rPr>
          <w:sz w:val="22"/>
          <w:szCs w:val="22"/>
        </w:rPr>
        <w:t>Po otwarciu przetargu zostały doszczegółowione informacje dotyczące dostępu do drogi publicznej –</w:t>
      </w:r>
      <w:r w:rsidR="00DB5BDD" w:rsidRPr="00DD14D3">
        <w:rPr>
          <w:sz w:val="22"/>
          <w:szCs w:val="22"/>
        </w:rPr>
        <w:t xml:space="preserve"> w </w:t>
      </w:r>
      <w:r w:rsidRPr="00DD14D3">
        <w:rPr>
          <w:sz w:val="22"/>
          <w:szCs w:val="22"/>
        </w:rPr>
        <w:t xml:space="preserve">ogłoszeniu widniała informacja o dostępie do drogi publicznej ul. </w:t>
      </w:r>
      <w:proofErr w:type="spellStart"/>
      <w:r w:rsidRPr="00DD14D3">
        <w:rPr>
          <w:sz w:val="22"/>
          <w:szCs w:val="22"/>
        </w:rPr>
        <w:t>Tunkla</w:t>
      </w:r>
      <w:proofErr w:type="spellEnd"/>
      <w:r w:rsidRPr="00DD14D3">
        <w:rPr>
          <w:sz w:val="22"/>
          <w:szCs w:val="22"/>
        </w:rPr>
        <w:t xml:space="preserve"> w Rudzie Śląskiej –</w:t>
      </w:r>
      <w:r w:rsidR="00DB5BDD" w:rsidRPr="00DD14D3">
        <w:rPr>
          <w:sz w:val="22"/>
          <w:szCs w:val="22"/>
        </w:rPr>
        <w:t xml:space="preserve"> na </w:t>
      </w:r>
      <w:r w:rsidRPr="00DD14D3">
        <w:rPr>
          <w:sz w:val="22"/>
          <w:szCs w:val="22"/>
        </w:rPr>
        <w:t>przetargu został przekazany do wglądu uczestnikom wycinek mapy z zaznaczonym terenem będącym przedmiotem przetargu oraz działka należąca do gminy przez którą będzie przebiegał dostęp do drogi publicznej po ustanowieniu służebności przez Gminę w trakcie podpisywania umowy notarialnej oraz ter</w:t>
      </w:r>
      <w:r w:rsidR="00572E4C">
        <w:rPr>
          <w:sz w:val="22"/>
          <w:szCs w:val="22"/>
        </w:rPr>
        <w:t>en gminny – zabudowana enklawa na</w:t>
      </w:r>
      <w:r w:rsidRPr="00DD14D3">
        <w:rPr>
          <w:sz w:val="22"/>
          <w:szCs w:val="22"/>
        </w:rPr>
        <w:t xml:space="preserve"> terenie będącym przedmiotem przetargu</w:t>
      </w:r>
      <w:r w:rsidR="00DB5BDD" w:rsidRPr="00DD14D3">
        <w:rPr>
          <w:sz w:val="22"/>
          <w:szCs w:val="22"/>
        </w:rPr>
        <w:t>, do </w:t>
      </w:r>
      <w:r w:rsidRPr="00DD14D3">
        <w:rPr>
          <w:sz w:val="22"/>
          <w:szCs w:val="22"/>
        </w:rPr>
        <w:t>którego dostęp będzie zapewniony poprzez teren będący pr</w:t>
      </w:r>
      <w:r w:rsidR="000A3D96">
        <w:rPr>
          <w:sz w:val="22"/>
          <w:szCs w:val="22"/>
        </w:rPr>
        <w:t xml:space="preserve">zedmiotem przetargu. Informacje </w:t>
      </w:r>
      <w:r w:rsidRPr="00DD14D3">
        <w:rPr>
          <w:sz w:val="22"/>
          <w:szCs w:val="22"/>
        </w:rPr>
        <w:t>te były podawane także przed przetargiem –</w:t>
      </w:r>
      <w:r w:rsidR="000A3D96">
        <w:rPr>
          <w:sz w:val="22"/>
          <w:szCs w:val="22"/>
        </w:rPr>
        <w:t xml:space="preserve"> </w:t>
      </w:r>
      <w:r w:rsidR="00572E4C">
        <w:rPr>
          <w:sz w:val="22"/>
          <w:szCs w:val="22"/>
        </w:rPr>
        <w:t xml:space="preserve">podmioty zainteresowane uzyskiwały te dane w </w:t>
      </w:r>
      <w:r w:rsidRPr="00DD14D3">
        <w:rPr>
          <w:sz w:val="22"/>
          <w:szCs w:val="22"/>
        </w:rPr>
        <w:t xml:space="preserve">formie </w:t>
      </w:r>
      <w:r w:rsidR="000A3D96">
        <w:rPr>
          <w:sz w:val="22"/>
          <w:szCs w:val="22"/>
        </w:rPr>
        <w:t>pisemnej lub ustnej. Informacja pisemna przekazywana była zainteresowanym podmiotom o treści j.n.</w:t>
      </w:r>
      <w:r w:rsidRPr="00DD14D3">
        <w:rPr>
          <w:sz w:val="22"/>
          <w:szCs w:val="22"/>
        </w:rPr>
        <w:t xml:space="preserve"> </w:t>
      </w:r>
    </w:p>
    <w:p w:rsidR="00412A95" w:rsidRPr="00DD14D3" w:rsidRDefault="00412A95" w:rsidP="001B0E25">
      <w:pPr>
        <w:spacing w:before="0" w:after="0"/>
        <w:jc w:val="both"/>
        <w:rPr>
          <w:rFonts w:ascii="Times New Roman" w:hAnsi="Times New Roman" w:cs="Times New Roman"/>
          <w:sz w:val="22"/>
          <w:szCs w:val="22"/>
        </w:rPr>
      </w:pPr>
      <w:r w:rsidRPr="00DD14D3">
        <w:rPr>
          <w:rFonts w:ascii="Times New Roman" w:hAnsi="Times New Roman" w:cs="Times New Roman"/>
          <w:sz w:val="22"/>
          <w:szCs w:val="22"/>
        </w:rPr>
        <w:t xml:space="preserve">„Nieruchomość położona przy ul. Góra Hugona stanowiąca działki 3661, 4313 i 4314 posiada dostęp do drogi publicznej powiatowej – ul. Śląskiej poprzez drogę usytuowaną na działce 4312 </w:t>
      </w:r>
      <w:r w:rsidR="00DB5BDD" w:rsidRPr="00DD14D3">
        <w:rPr>
          <w:rFonts w:ascii="Times New Roman" w:hAnsi="Times New Roman" w:cs="Times New Roman"/>
          <w:sz w:val="22"/>
          <w:szCs w:val="22"/>
        </w:rPr>
        <w:t>będącą w </w:t>
      </w:r>
      <w:r w:rsidRPr="00DD14D3">
        <w:rPr>
          <w:rFonts w:ascii="Times New Roman" w:hAnsi="Times New Roman" w:cs="Times New Roman"/>
          <w:sz w:val="22"/>
          <w:szCs w:val="22"/>
        </w:rPr>
        <w:t>zarządzie Prezydenta Miasta Świętochłowice oraz drogę – ul. Śl</w:t>
      </w:r>
      <w:r w:rsidR="00DB5BDD" w:rsidRPr="00DD14D3">
        <w:rPr>
          <w:rFonts w:ascii="Times New Roman" w:hAnsi="Times New Roman" w:cs="Times New Roman"/>
          <w:sz w:val="22"/>
          <w:szCs w:val="22"/>
        </w:rPr>
        <w:t xml:space="preserve">ąską (przedłużenie ul. </w:t>
      </w:r>
      <w:proofErr w:type="spellStart"/>
      <w:r w:rsidR="00DB5BDD" w:rsidRPr="00DD14D3">
        <w:rPr>
          <w:rFonts w:ascii="Times New Roman" w:hAnsi="Times New Roman" w:cs="Times New Roman"/>
          <w:sz w:val="22"/>
          <w:szCs w:val="22"/>
        </w:rPr>
        <w:t>Tunkla</w:t>
      </w:r>
      <w:proofErr w:type="spellEnd"/>
      <w:r w:rsidR="00DB5BDD" w:rsidRPr="00DD14D3">
        <w:rPr>
          <w:rFonts w:ascii="Times New Roman" w:hAnsi="Times New Roman" w:cs="Times New Roman"/>
          <w:sz w:val="22"/>
          <w:szCs w:val="22"/>
        </w:rPr>
        <w:t xml:space="preserve"> w </w:t>
      </w:r>
      <w:r w:rsidRPr="00DD14D3">
        <w:rPr>
          <w:rFonts w:ascii="Times New Roman" w:hAnsi="Times New Roman" w:cs="Times New Roman"/>
          <w:sz w:val="22"/>
          <w:szCs w:val="22"/>
        </w:rPr>
        <w:t xml:space="preserve">Rudzie Śląskiej) usytuowaną na działkach 3794 i 3796 będącą w zarządzie Prezydenta Miasta Świętochłowice. Zarządcą drogi publicznej ul. Śląskiej (9804 S) jest Prezydent Miasta Świętochłowice, natomiast zarządcą drogi publicznej ul. </w:t>
      </w:r>
      <w:proofErr w:type="spellStart"/>
      <w:r w:rsidRPr="00DD14D3">
        <w:rPr>
          <w:rFonts w:ascii="Times New Roman" w:hAnsi="Times New Roman" w:cs="Times New Roman"/>
          <w:sz w:val="22"/>
          <w:szCs w:val="22"/>
        </w:rPr>
        <w:t>Tunkla</w:t>
      </w:r>
      <w:proofErr w:type="spellEnd"/>
      <w:r w:rsidRPr="00DD14D3">
        <w:rPr>
          <w:rFonts w:ascii="Times New Roman" w:hAnsi="Times New Roman" w:cs="Times New Roman"/>
          <w:sz w:val="22"/>
          <w:szCs w:val="22"/>
        </w:rPr>
        <w:t xml:space="preserve"> jest Prezydent Miasta Ruda Śląska. Nie ma konieczności lokalizacji zjazdu, ponieważ funkcjonuje zjazd zgodnie z w/w informacją.”</w:t>
      </w:r>
    </w:p>
    <w:p w:rsidR="00030FA4" w:rsidRPr="00DD14D3" w:rsidRDefault="00412A95" w:rsidP="00030FA4">
      <w:pPr>
        <w:pStyle w:val="bodytext"/>
        <w:spacing w:before="0" w:beforeAutospacing="0" w:after="0" w:afterAutospacing="0" w:line="360" w:lineRule="auto"/>
        <w:ind w:firstLine="708"/>
        <w:jc w:val="both"/>
        <w:rPr>
          <w:sz w:val="22"/>
          <w:szCs w:val="22"/>
        </w:rPr>
      </w:pPr>
      <w:r w:rsidRPr="00DD14D3">
        <w:rPr>
          <w:sz w:val="22"/>
          <w:szCs w:val="22"/>
        </w:rPr>
        <w:t xml:space="preserve">Umieszczenie w ogłoszeniu o przetargu informacji na temat </w:t>
      </w:r>
      <w:r w:rsidR="00DD7563">
        <w:rPr>
          <w:sz w:val="22"/>
          <w:szCs w:val="22"/>
        </w:rPr>
        <w:t xml:space="preserve">umów </w:t>
      </w:r>
      <w:r w:rsidRPr="00DD14D3">
        <w:rPr>
          <w:sz w:val="22"/>
          <w:szCs w:val="22"/>
        </w:rPr>
        <w:t>dzierżaw</w:t>
      </w:r>
      <w:r w:rsidR="00DD7563">
        <w:rPr>
          <w:sz w:val="22"/>
          <w:szCs w:val="22"/>
        </w:rPr>
        <w:t>y</w:t>
      </w:r>
      <w:r w:rsidRPr="00DD14D3">
        <w:rPr>
          <w:sz w:val="22"/>
          <w:szCs w:val="22"/>
        </w:rPr>
        <w:t xml:space="preserve"> było </w:t>
      </w:r>
      <w:r w:rsidR="00DD7563">
        <w:rPr>
          <w:sz w:val="22"/>
          <w:szCs w:val="22"/>
        </w:rPr>
        <w:t>mało znaczące,</w:t>
      </w:r>
      <w:r w:rsidRPr="00DD14D3">
        <w:rPr>
          <w:sz w:val="22"/>
          <w:szCs w:val="22"/>
        </w:rPr>
        <w:t xml:space="preserve"> ponieważ umowy uległy już rozwiązaniu w chwili </w:t>
      </w:r>
      <w:r w:rsidR="00A44B2E" w:rsidRPr="00DD14D3">
        <w:rPr>
          <w:sz w:val="22"/>
          <w:szCs w:val="22"/>
        </w:rPr>
        <w:t>przetargu</w:t>
      </w:r>
      <w:r w:rsidRPr="00DD14D3">
        <w:rPr>
          <w:sz w:val="22"/>
          <w:szCs w:val="22"/>
        </w:rPr>
        <w:t xml:space="preserve"> lub </w:t>
      </w:r>
      <w:r w:rsidR="00DD7563">
        <w:rPr>
          <w:sz w:val="22"/>
          <w:szCs w:val="22"/>
        </w:rPr>
        <w:t xml:space="preserve">ich rozwiązanie nastąpi </w:t>
      </w:r>
      <w:r w:rsidRPr="00DD14D3">
        <w:rPr>
          <w:sz w:val="22"/>
          <w:szCs w:val="22"/>
        </w:rPr>
        <w:t xml:space="preserve"> przed </w:t>
      </w:r>
      <w:r w:rsidR="00DD7563">
        <w:rPr>
          <w:sz w:val="22"/>
          <w:szCs w:val="22"/>
        </w:rPr>
        <w:t>zawarciem umowy notarialnej w sprawie oddania</w:t>
      </w:r>
      <w:r w:rsidR="00A44B2E" w:rsidRPr="00DD14D3">
        <w:rPr>
          <w:sz w:val="22"/>
          <w:szCs w:val="22"/>
        </w:rPr>
        <w:t xml:space="preserve"> </w:t>
      </w:r>
      <w:r w:rsidR="00DD7563">
        <w:rPr>
          <w:sz w:val="22"/>
          <w:szCs w:val="22"/>
        </w:rPr>
        <w:t xml:space="preserve">przedmiotowej </w:t>
      </w:r>
      <w:r w:rsidR="00A44B2E" w:rsidRPr="00DD14D3">
        <w:rPr>
          <w:sz w:val="22"/>
          <w:szCs w:val="22"/>
        </w:rPr>
        <w:t xml:space="preserve">nieruchomości </w:t>
      </w:r>
      <w:r w:rsidR="00DD7563">
        <w:rPr>
          <w:sz w:val="22"/>
          <w:szCs w:val="22"/>
        </w:rPr>
        <w:t xml:space="preserve">                         </w:t>
      </w:r>
      <w:r w:rsidR="00A44B2E" w:rsidRPr="00DD14D3">
        <w:rPr>
          <w:sz w:val="22"/>
          <w:szCs w:val="22"/>
        </w:rPr>
        <w:t xml:space="preserve">w użytkowanie wieczyste. </w:t>
      </w:r>
      <w:r w:rsidR="00030FA4">
        <w:rPr>
          <w:sz w:val="22"/>
          <w:szCs w:val="22"/>
        </w:rPr>
        <w:t xml:space="preserve">Informacje </w:t>
      </w:r>
      <w:r w:rsidR="00030FA4" w:rsidRPr="00DD14D3">
        <w:rPr>
          <w:sz w:val="22"/>
          <w:szCs w:val="22"/>
        </w:rPr>
        <w:t>te były podawane także przed przetargiem –</w:t>
      </w:r>
      <w:r w:rsidR="00030FA4">
        <w:rPr>
          <w:sz w:val="22"/>
          <w:szCs w:val="22"/>
        </w:rPr>
        <w:t xml:space="preserve"> podmioty zainteresowane uzyskiwały te dane w </w:t>
      </w:r>
      <w:r w:rsidR="00030FA4" w:rsidRPr="00DD14D3">
        <w:rPr>
          <w:sz w:val="22"/>
          <w:szCs w:val="22"/>
        </w:rPr>
        <w:t xml:space="preserve">formie </w:t>
      </w:r>
      <w:r w:rsidR="00030FA4">
        <w:rPr>
          <w:sz w:val="22"/>
          <w:szCs w:val="22"/>
        </w:rPr>
        <w:t>pisemnej lub ustnej. Informacja pisemna przekazywana była zainteresowanym podmiotom o treści j.n.</w:t>
      </w:r>
      <w:r w:rsidR="00030FA4" w:rsidRPr="00DD14D3">
        <w:rPr>
          <w:sz w:val="22"/>
          <w:szCs w:val="22"/>
        </w:rPr>
        <w:t xml:space="preserve"> </w:t>
      </w:r>
    </w:p>
    <w:p w:rsidR="005B775A" w:rsidRPr="00DD14D3" w:rsidRDefault="00412A95" w:rsidP="00030FA4">
      <w:pPr>
        <w:pStyle w:val="Akapitzlist"/>
        <w:spacing w:before="0" w:after="0"/>
        <w:ind w:left="0"/>
        <w:jc w:val="both"/>
        <w:rPr>
          <w:rFonts w:ascii="Times New Roman" w:hAnsi="Times New Roman" w:cs="Times New Roman"/>
          <w:sz w:val="22"/>
          <w:szCs w:val="22"/>
        </w:rPr>
      </w:pPr>
      <w:r w:rsidRPr="00DD14D3">
        <w:rPr>
          <w:rFonts w:ascii="Times New Roman" w:hAnsi="Times New Roman" w:cs="Times New Roman"/>
          <w:sz w:val="22"/>
          <w:szCs w:val="22"/>
        </w:rPr>
        <w:t xml:space="preserve">„Na terenie będącym przedmiotem przetargu obowiązywało 15 umów dzierżawy w tym 9 wygasło, 1 dzierżawca zmarł, a spadkobiercy nie wystąpili o umowę dzierżawy, natomiast 5 umów zostało wypowiedzianych z terminem obowiązywania do 30 kwietnia br. (w załączniku mapy). </w:t>
      </w:r>
      <w:r w:rsidR="005B775A" w:rsidRPr="00DD14D3">
        <w:rPr>
          <w:rFonts w:ascii="Times New Roman" w:hAnsi="Times New Roman" w:cs="Times New Roman"/>
          <w:sz w:val="22"/>
          <w:szCs w:val="22"/>
        </w:rPr>
        <w:t xml:space="preserve">                                     </w:t>
      </w:r>
      <w:r w:rsidRPr="00DD14D3">
        <w:rPr>
          <w:rFonts w:ascii="Times New Roman" w:hAnsi="Times New Roman" w:cs="Times New Roman"/>
          <w:sz w:val="22"/>
          <w:szCs w:val="22"/>
        </w:rPr>
        <w:t xml:space="preserve">Nie sporządzono protokołów przekazania nieruchomości – dzierżawcy zostali poinformowani, </w:t>
      </w:r>
      <w:r w:rsidR="005B775A" w:rsidRPr="00DD14D3">
        <w:rPr>
          <w:rFonts w:ascii="Times New Roman" w:hAnsi="Times New Roman" w:cs="Times New Roman"/>
          <w:sz w:val="22"/>
          <w:szCs w:val="22"/>
        </w:rPr>
        <w:t xml:space="preserve">                            </w:t>
      </w:r>
    </w:p>
    <w:p w:rsidR="00D3346A" w:rsidRDefault="00D3346A" w:rsidP="001B0E25">
      <w:pPr>
        <w:spacing w:before="0" w:after="0"/>
        <w:jc w:val="both"/>
        <w:rPr>
          <w:rFonts w:ascii="Times New Roman" w:hAnsi="Times New Roman" w:cs="Times New Roman"/>
          <w:sz w:val="22"/>
          <w:szCs w:val="22"/>
        </w:rPr>
      </w:pPr>
    </w:p>
    <w:p w:rsidR="00D3346A" w:rsidRDefault="00D3346A" w:rsidP="001B0E25">
      <w:pPr>
        <w:spacing w:before="0" w:after="0"/>
        <w:jc w:val="both"/>
        <w:rPr>
          <w:rFonts w:ascii="Times New Roman" w:hAnsi="Times New Roman" w:cs="Times New Roman"/>
          <w:sz w:val="22"/>
          <w:szCs w:val="22"/>
        </w:rPr>
      </w:pPr>
    </w:p>
    <w:p w:rsidR="00412A95" w:rsidRPr="00DD14D3" w:rsidRDefault="00412A95" w:rsidP="001B0E25">
      <w:pPr>
        <w:spacing w:before="0" w:after="0"/>
        <w:jc w:val="both"/>
        <w:rPr>
          <w:rFonts w:ascii="Times New Roman" w:hAnsi="Times New Roman" w:cs="Times New Roman"/>
          <w:sz w:val="22"/>
          <w:szCs w:val="22"/>
        </w:rPr>
      </w:pPr>
      <w:r w:rsidRPr="00DD14D3">
        <w:rPr>
          <w:rFonts w:ascii="Times New Roman" w:hAnsi="Times New Roman" w:cs="Times New Roman"/>
          <w:sz w:val="22"/>
          <w:szCs w:val="22"/>
        </w:rPr>
        <w:t>iż przekazanie gruntów nastąpi po zbyciu nieruchomości przez nowonabywcę. Równocześnie informuję, iż nie posiadamy wiedzy na temat korzystania z nieruchomości w innym zakresie.”</w:t>
      </w:r>
    </w:p>
    <w:p w:rsidR="00A44B2E" w:rsidRPr="00DD14D3" w:rsidRDefault="00A44B2E" w:rsidP="00030FA4">
      <w:pPr>
        <w:spacing w:before="0" w:after="0"/>
        <w:ind w:firstLine="708"/>
        <w:jc w:val="both"/>
        <w:rPr>
          <w:rFonts w:ascii="Times New Roman" w:hAnsi="Times New Roman" w:cs="Times New Roman"/>
          <w:sz w:val="22"/>
          <w:szCs w:val="22"/>
        </w:rPr>
      </w:pPr>
      <w:r w:rsidRPr="00DD14D3">
        <w:rPr>
          <w:rFonts w:ascii="Times New Roman" w:hAnsi="Times New Roman" w:cs="Times New Roman"/>
          <w:sz w:val="22"/>
          <w:szCs w:val="22"/>
        </w:rPr>
        <w:t xml:space="preserve">Na pytanie dotyczące szerokości pasa służebności oraz jego </w:t>
      </w:r>
      <w:r w:rsidR="007833C7" w:rsidRPr="00DD14D3">
        <w:rPr>
          <w:rFonts w:ascii="Times New Roman" w:hAnsi="Times New Roman" w:cs="Times New Roman"/>
          <w:sz w:val="22"/>
          <w:szCs w:val="22"/>
        </w:rPr>
        <w:t>przebiegu</w:t>
      </w:r>
      <w:r w:rsidRPr="00DD14D3">
        <w:rPr>
          <w:rFonts w:ascii="Times New Roman" w:hAnsi="Times New Roman" w:cs="Times New Roman"/>
          <w:sz w:val="22"/>
          <w:szCs w:val="22"/>
        </w:rPr>
        <w:t xml:space="preserve"> przez działkę 3661 celem rozwiania wątpliwości uczestnikó</w:t>
      </w:r>
      <w:r w:rsidR="007833C7" w:rsidRPr="00DD14D3">
        <w:rPr>
          <w:rFonts w:ascii="Times New Roman" w:hAnsi="Times New Roman" w:cs="Times New Roman"/>
          <w:sz w:val="22"/>
          <w:szCs w:val="22"/>
        </w:rPr>
        <w:t>w</w:t>
      </w:r>
      <w:r w:rsidRPr="00DD14D3">
        <w:rPr>
          <w:rFonts w:ascii="Times New Roman" w:hAnsi="Times New Roman" w:cs="Times New Roman"/>
          <w:sz w:val="22"/>
          <w:szCs w:val="22"/>
        </w:rPr>
        <w:t xml:space="preserve"> </w:t>
      </w:r>
      <w:r w:rsidR="007833C7" w:rsidRPr="00DD14D3">
        <w:rPr>
          <w:rFonts w:ascii="Times New Roman" w:hAnsi="Times New Roman" w:cs="Times New Roman"/>
          <w:sz w:val="22"/>
          <w:szCs w:val="22"/>
        </w:rPr>
        <w:t>przetargu</w:t>
      </w:r>
      <w:r w:rsidRPr="00DD14D3">
        <w:rPr>
          <w:rFonts w:ascii="Times New Roman" w:hAnsi="Times New Roman" w:cs="Times New Roman"/>
          <w:sz w:val="22"/>
          <w:szCs w:val="22"/>
        </w:rPr>
        <w:t xml:space="preserve"> została poproszona o doszczegółowienie informacji Pani </w:t>
      </w:r>
      <w:r w:rsidR="007833C7" w:rsidRPr="00DD14D3">
        <w:rPr>
          <w:rFonts w:ascii="Times New Roman" w:hAnsi="Times New Roman" w:cs="Times New Roman"/>
          <w:sz w:val="22"/>
          <w:szCs w:val="22"/>
        </w:rPr>
        <w:t>Katarzyna Gawlik – Król – Kierownik Referatu Zarządu Dróg, która odpowiadała na p</w:t>
      </w:r>
      <w:r w:rsidR="00030FA4">
        <w:rPr>
          <w:rFonts w:ascii="Times New Roman" w:hAnsi="Times New Roman" w:cs="Times New Roman"/>
          <w:sz w:val="22"/>
          <w:szCs w:val="22"/>
        </w:rPr>
        <w:t>ytania potencjalnych inwestorów w trakcie przedmiotowego przetargu.</w:t>
      </w:r>
    </w:p>
    <w:p w:rsidR="007833C7" w:rsidRPr="00DD14D3" w:rsidRDefault="007833C7" w:rsidP="00030FA4">
      <w:pPr>
        <w:spacing w:before="0" w:after="0"/>
        <w:ind w:firstLine="708"/>
        <w:jc w:val="both"/>
        <w:rPr>
          <w:rFonts w:ascii="Times New Roman" w:hAnsi="Times New Roman" w:cs="Times New Roman"/>
          <w:sz w:val="22"/>
          <w:szCs w:val="22"/>
        </w:rPr>
      </w:pPr>
      <w:r w:rsidRPr="00DD14D3">
        <w:rPr>
          <w:rFonts w:ascii="Times New Roman" w:hAnsi="Times New Roman" w:cs="Times New Roman"/>
          <w:sz w:val="22"/>
          <w:szCs w:val="22"/>
        </w:rPr>
        <w:t>Do udziału w licytacji zostały dopuszczone 4 podmioty, w tym PIRAZMAT Sp. z o. o.</w:t>
      </w:r>
      <w:r w:rsidR="00462CA0" w:rsidRPr="00DD14D3">
        <w:rPr>
          <w:rFonts w:ascii="Times New Roman" w:hAnsi="Times New Roman" w:cs="Times New Roman"/>
          <w:sz w:val="22"/>
          <w:szCs w:val="22"/>
        </w:rPr>
        <w:t>,</w:t>
      </w:r>
      <w:r w:rsidR="003C7924" w:rsidRPr="00DD14D3">
        <w:rPr>
          <w:rFonts w:ascii="Times New Roman" w:hAnsi="Times New Roman" w:cs="Times New Roman"/>
          <w:sz w:val="22"/>
          <w:szCs w:val="22"/>
        </w:rPr>
        <w:t xml:space="preserve">                               </w:t>
      </w:r>
      <w:r w:rsidRPr="00DD14D3">
        <w:rPr>
          <w:rFonts w:ascii="Times New Roman" w:hAnsi="Times New Roman" w:cs="Times New Roman"/>
          <w:sz w:val="22"/>
          <w:szCs w:val="22"/>
        </w:rPr>
        <w:t xml:space="preserve"> który przystąpił do licytacji.</w:t>
      </w:r>
    </w:p>
    <w:p w:rsidR="007833C7" w:rsidRPr="00DD14D3" w:rsidRDefault="007833C7" w:rsidP="001B0E25">
      <w:pPr>
        <w:spacing w:before="0" w:after="0"/>
        <w:jc w:val="both"/>
        <w:rPr>
          <w:rFonts w:ascii="Times New Roman" w:hAnsi="Times New Roman" w:cs="Times New Roman"/>
          <w:sz w:val="22"/>
          <w:szCs w:val="22"/>
        </w:rPr>
      </w:pPr>
      <w:r w:rsidRPr="00DD14D3">
        <w:rPr>
          <w:rFonts w:ascii="Times New Roman" w:hAnsi="Times New Roman" w:cs="Times New Roman"/>
          <w:sz w:val="22"/>
          <w:szCs w:val="22"/>
        </w:rPr>
        <w:t>W licytacji wzięły udział tylko dwa podmioty, w tym PIRAZMAT Sp. z o. o., który został przelicytowany kilkukrotnie przez zwycięzcę przetargu PERFEKT DEVELOPER Sp. z o. o.</w:t>
      </w:r>
    </w:p>
    <w:p w:rsidR="00DB5BDD" w:rsidRPr="00DD14D3" w:rsidRDefault="00110857" w:rsidP="00030FA4">
      <w:pPr>
        <w:spacing w:before="0" w:after="0"/>
        <w:ind w:firstLine="708"/>
        <w:jc w:val="both"/>
        <w:rPr>
          <w:rFonts w:ascii="Times New Roman" w:hAnsi="Times New Roman" w:cs="Times New Roman"/>
          <w:sz w:val="22"/>
          <w:szCs w:val="22"/>
        </w:rPr>
      </w:pPr>
      <w:r w:rsidRPr="00DD14D3">
        <w:rPr>
          <w:rFonts w:ascii="Times New Roman" w:hAnsi="Times New Roman" w:cs="Times New Roman"/>
          <w:sz w:val="22"/>
          <w:szCs w:val="22"/>
        </w:rPr>
        <w:t xml:space="preserve">Zamiar oddania przedmiotowej nieruchomości został podany do </w:t>
      </w:r>
      <w:r w:rsidR="00DB5BDD" w:rsidRPr="00DD14D3">
        <w:rPr>
          <w:rFonts w:ascii="Times New Roman" w:hAnsi="Times New Roman" w:cs="Times New Roman"/>
          <w:sz w:val="22"/>
          <w:szCs w:val="22"/>
        </w:rPr>
        <w:t xml:space="preserve">publicznej wiadomości </w:t>
      </w:r>
      <w:r w:rsidR="00030FA4">
        <w:rPr>
          <w:rFonts w:ascii="Times New Roman" w:hAnsi="Times New Roman" w:cs="Times New Roman"/>
          <w:sz w:val="22"/>
          <w:szCs w:val="22"/>
        </w:rPr>
        <w:t xml:space="preserve">          </w:t>
      </w:r>
      <w:r w:rsidR="00DB5BDD" w:rsidRPr="00DD14D3">
        <w:rPr>
          <w:rFonts w:ascii="Times New Roman" w:hAnsi="Times New Roman" w:cs="Times New Roman"/>
          <w:sz w:val="22"/>
          <w:szCs w:val="22"/>
        </w:rPr>
        <w:t>w dniu 27 </w:t>
      </w:r>
      <w:r w:rsidRPr="00DD14D3">
        <w:rPr>
          <w:rFonts w:ascii="Times New Roman" w:hAnsi="Times New Roman" w:cs="Times New Roman"/>
          <w:sz w:val="22"/>
          <w:szCs w:val="22"/>
        </w:rPr>
        <w:t xml:space="preserve">września 2017 r. </w:t>
      </w:r>
      <w:r w:rsidR="0023503B">
        <w:rPr>
          <w:rFonts w:ascii="Times New Roman" w:hAnsi="Times New Roman" w:cs="Times New Roman"/>
          <w:sz w:val="22"/>
          <w:szCs w:val="22"/>
        </w:rPr>
        <w:t>Ostatecznie pierwszy przetarg odbył się w dniu</w:t>
      </w:r>
      <w:r w:rsidRPr="00DD14D3">
        <w:rPr>
          <w:rFonts w:ascii="Times New Roman" w:hAnsi="Times New Roman" w:cs="Times New Roman"/>
          <w:sz w:val="22"/>
          <w:szCs w:val="22"/>
        </w:rPr>
        <w:t xml:space="preserve"> 23 marca 2018 r. </w:t>
      </w:r>
      <w:r w:rsidR="00E75A44">
        <w:rPr>
          <w:rFonts w:ascii="Times New Roman" w:hAnsi="Times New Roman" w:cs="Times New Roman"/>
          <w:sz w:val="22"/>
          <w:szCs w:val="22"/>
        </w:rPr>
        <w:t xml:space="preserve">             </w:t>
      </w:r>
      <w:r w:rsidR="0023503B">
        <w:rPr>
          <w:rFonts w:ascii="Times New Roman" w:hAnsi="Times New Roman" w:cs="Times New Roman"/>
          <w:sz w:val="22"/>
          <w:szCs w:val="22"/>
        </w:rPr>
        <w:t>O</w:t>
      </w:r>
      <w:r w:rsidRPr="00DD14D3">
        <w:rPr>
          <w:rFonts w:ascii="Times New Roman" w:hAnsi="Times New Roman" w:cs="Times New Roman"/>
          <w:sz w:val="22"/>
          <w:szCs w:val="22"/>
        </w:rPr>
        <w:t xml:space="preserve">d momentu podania </w:t>
      </w:r>
      <w:r w:rsidR="00E75A44">
        <w:rPr>
          <w:rFonts w:ascii="Times New Roman" w:hAnsi="Times New Roman" w:cs="Times New Roman"/>
          <w:sz w:val="22"/>
          <w:szCs w:val="22"/>
        </w:rPr>
        <w:t xml:space="preserve"> </w:t>
      </w:r>
      <w:r w:rsidRPr="00DD14D3">
        <w:rPr>
          <w:rFonts w:ascii="Times New Roman" w:hAnsi="Times New Roman" w:cs="Times New Roman"/>
          <w:sz w:val="22"/>
          <w:szCs w:val="22"/>
        </w:rPr>
        <w:t>do publicznej wiadomości informacji o z</w:t>
      </w:r>
      <w:r w:rsidR="00DB5BDD" w:rsidRPr="00DD14D3">
        <w:rPr>
          <w:rFonts w:ascii="Times New Roman" w:hAnsi="Times New Roman" w:cs="Times New Roman"/>
          <w:sz w:val="22"/>
          <w:szCs w:val="22"/>
        </w:rPr>
        <w:t>amiarze oddania nieruchomości w </w:t>
      </w:r>
      <w:r w:rsidRPr="00DD14D3">
        <w:rPr>
          <w:rFonts w:ascii="Times New Roman" w:hAnsi="Times New Roman" w:cs="Times New Roman"/>
          <w:sz w:val="22"/>
          <w:szCs w:val="22"/>
        </w:rPr>
        <w:t xml:space="preserve">użytkowanie wieczyste do chwili przetargu upłynęło </w:t>
      </w:r>
      <w:r w:rsidR="0023503B">
        <w:rPr>
          <w:rFonts w:ascii="Times New Roman" w:hAnsi="Times New Roman" w:cs="Times New Roman"/>
          <w:sz w:val="22"/>
          <w:szCs w:val="22"/>
        </w:rPr>
        <w:t xml:space="preserve">zatem </w:t>
      </w:r>
      <w:r w:rsidRPr="00DD14D3">
        <w:rPr>
          <w:rFonts w:ascii="Times New Roman" w:hAnsi="Times New Roman" w:cs="Times New Roman"/>
          <w:sz w:val="22"/>
          <w:szCs w:val="22"/>
        </w:rPr>
        <w:t xml:space="preserve">prawie 6 miesięcy, w trakcie których potencjalni inwestorzy, w tym PIRAZMAT Sp. z o. o. </w:t>
      </w:r>
      <w:r w:rsidR="0023503B">
        <w:rPr>
          <w:rFonts w:ascii="Times New Roman" w:hAnsi="Times New Roman" w:cs="Times New Roman"/>
          <w:sz w:val="22"/>
          <w:szCs w:val="22"/>
        </w:rPr>
        <w:t xml:space="preserve">mogli dowiedzieć się i dowiadywali się </w:t>
      </w:r>
      <w:r w:rsidR="00E75A44">
        <w:rPr>
          <w:rFonts w:ascii="Times New Roman" w:hAnsi="Times New Roman" w:cs="Times New Roman"/>
          <w:sz w:val="22"/>
          <w:szCs w:val="22"/>
        </w:rPr>
        <w:t xml:space="preserve">             </w:t>
      </w:r>
      <w:r w:rsidR="00043461">
        <w:rPr>
          <w:rFonts w:ascii="Times New Roman" w:hAnsi="Times New Roman" w:cs="Times New Roman"/>
          <w:sz w:val="22"/>
          <w:szCs w:val="22"/>
        </w:rPr>
        <w:t xml:space="preserve">o </w:t>
      </w:r>
      <w:r w:rsidR="0023503B">
        <w:rPr>
          <w:rFonts w:ascii="Times New Roman" w:hAnsi="Times New Roman" w:cs="Times New Roman"/>
          <w:sz w:val="22"/>
          <w:szCs w:val="22"/>
        </w:rPr>
        <w:t xml:space="preserve">istotnych </w:t>
      </w:r>
      <w:r w:rsidR="00043461">
        <w:rPr>
          <w:rFonts w:ascii="Times New Roman" w:hAnsi="Times New Roman" w:cs="Times New Roman"/>
          <w:sz w:val="22"/>
          <w:szCs w:val="22"/>
        </w:rPr>
        <w:t>informacjach</w:t>
      </w:r>
      <w:r w:rsidRPr="00DD14D3">
        <w:rPr>
          <w:rFonts w:ascii="Times New Roman" w:hAnsi="Times New Roman" w:cs="Times New Roman"/>
          <w:sz w:val="22"/>
          <w:szCs w:val="22"/>
        </w:rPr>
        <w:t xml:space="preserve"> na temat nieruchomości</w:t>
      </w:r>
      <w:r w:rsidR="00DB5BDD" w:rsidRPr="00DD14D3">
        <w:rPr>
          <w:rFonts w:ascii="Times New Roman" w:hAnsi="Times New Roman" w:cs="Times New Roman"/>
          <w:sz w:val="22"/>
          <w:szCs w:val="22"/>
        </w:rPr>
        <w:t>. Z</w:t>
      </w:r>
      <w:r w:rsidRPr="00DD14D3">
        <w:rPr>
          <w:rFonts w:ascii="Times New Roman" w:hAnsi="Times New Roman" w:cs="Times New Roman"/>
          <w:sz w:val="22"/>
          <w:szCs w:val="22"/>
        </w:rPr>
        <w:t>awodowe prowadzenie działalności develope</w:t>
      </w:r>
      <w:r w:rsidR="00E75A44">
        <w:rPr>
          <w:rFonts w:ascii="Times New Roman" w:hAnsi="Times New Roman" w:cs="Times New Roman"/>
          <w:sz w:val="22"/>
          <w:szCs w:val="22"/>
        </w:rPr>
        <w:t xml:space="preserve">rskiej, dwukrotna wpłata wadium </w:t>
      </w:r>
      <w:r w:rsidRPr="00DD14D3">
        <w:rPr>
          <w:rFonts w:ascii="Times New Roman" w:hAnsi="Times New Roman" w:cs="Times New Roman"/>
          <w:sz w:val="22"/>
          <w:szCs w:val="22"/>
        </w:rPr>
        <w:t>i udział w licytacji wskazują</w:t>
      </w:r>
      <w:r w:rsidR="00DB5BDD" w:rsidRPr="00DD14D3">
        <w:rPr>
          <w:rFonts w:ascii="Times New Roman" w:hAnsi="Times New Roman" w:cs="Times New Roman"/>
          <w:sz w:val="22"/>
          <w:szCs w:val="22"/>
        </w:rPr>
        <w:t>, iż </w:t>
      </w:r>
      <w:r w:rsidRPr="00DD14D3">
        <w:rPr>
          <w:rFonts w:ascii="Times New Roman" w:hAnsi="Times New Roman" w:cs="Times New Roman"/>
          <w:sz w:val="22"/>
          <w:szCs w:val="22"/>
        </w:rPr>
        <w:t>skarżący miał wielokrotnie m</w:t>
      </w:r>
      <w:r w:rsidR="00043461">
        <w:rPr>
          <w:rFonts w:ascii="Times New Roman" w:hAnsi="Times New Roman" w:cs="Times New Roman"/>
          <w:sz w:val="22"/>
          <w:szCs w:val="22"/>
        </w:rPr>
        <w:t>ożliwość zapoznania</w:t>
      </w:r>
      <w:r w:rsidR="0023503B">
        <w:rPr>
          <w:rFonts w:ascii="Times New Roman" w:hAnsi="Times New Roman" w:cs="Times New Roman"/>
          <w:sz w:val="22"/>
          <w:szCs w:val="22"/>
        </w:rPr>
        <w:t xml:space="preserve"> się ze zbywaną</w:t>
      </w:r>
      <w:r w:rsidR="00043461">
        <w:rPr>
          <w:rFonts w:ascii="Times New Roman" w:hAnsi="Times New Roman" w:cs="Times New Roman"/>
          <w:sz w:val="22"/>
          <w:szCs w:val="22"/>
        </w:rPr>
        <w:t xml:space="preserve"> nieruchomością.</w:t>
      </w:r>
      <w:r w:rsidRPr="00DD14D3">
        <w:rPr>
          <w:rFonts w:ascii="Times New Roman" w:hAnsi="Times New Roman" w:cs="Times New Roman"/>
          <w:sz w:val="22"/>
          <w:szCs w:val="22"/>
        </w:rPr>
        <w:t xml:space="preserve"> </w:t>
      </w:r>
      <w:r w:rsidR="00043461">
        <w:rPr>
          <w:rFonts w:ascii="Times New Roman" w:hAnsi="Times New Roman" w:cs="Times New Roman"/>
          <w:sz w:val="22"/>
          <w:szCs w:val="22"/>
        </w:rPr>
        <w:t>Z</w:t>
      </w:r>
      <w:r w:rsidR="0023503B">
        <w:rPr>
          <w:rFonts w:ascii="Times New Roman" w:hAnsi="Times New Roman" w:cs="Times New Roman"/>
          <w:sz w:val="22"/>
          <w:szCs w:val="22"/>
        </w:rPr>
        <w:t xml:space="preserve">resztą </w:t>
      </w:r>
      <w:r w:rsidRPr="00DD14D3">
        <w:rPr>
          <w:rFonts w:ascii="Times New Roman" w:hAnsi="Times New Roman" w:cs="Times New Roman"/>
          <w:sz w:val="22"/>
          <w:szCs w:val="22"/>
        </w:rPr>
        <w:t xml:space="preserve"> </w:t>
      </w:r>
      <w:r w:rsidR="00043461">
        <w:rPr>
          <w:rFonts w:ascii="Times New Roman" w:hAnsi="Times New Roman" w:cs="Times New Roman"/>
          <w:sz w:val="22"/>
          <w:szCs w:val="22"/>
        </w:rPr>
        <w:t xml:space="preserve">przed przetargiem </w:t>
      </w:r>
      <w:r w:rsidR="00DB5BDD" w:rsidRPr="00DD14D3">
        <w:rPr>
          <w:rFonts w:ascii="Times New Roman" w:hAnsi="Times New Roman" w:cs="Times New Roman"/>
          <w:sz w:val="22"/>
          <w:szCs w:val="22"/>
        </w:rPr>
        <w:t>Prezes</w:t>
      </w:r>
      <w:r w:rsidR="003C7924" w:rsidRPr="00DD14D3">
        <w:rPr>
          <w:rFonts w:ascii="Times New Roman" w:hAnsi="Times New Roman" w:cs="Times New Roman"/>
          <w:sz w:val="22"/>
          <w:szCs w:val="22"/>
        </w:rPr>
        <w:t xml:space="preserve"> Zarządu </w:t>
      </w:r>
      <w:r w:rsidR="00043461">
        <w:rPr>
          <w:rFonts w:ascii="Times New Roman" w:hAnsi="Times New Roman" w:cs="Times New Roman"/>
          <w:sz w:val="22"/>
          <w:szCs w:val="22"/>
        </w:rPr>
        <w:t>skarżącego Pan Bogdan Szostak złożył pisemne oświadczenie,</w:t>
      </w:r>
      <w:r w:rsidR="00DB5BDD" w:rsidRPr="00DD14D3">
        <w:rPr>
          <w:rFonts w:ascii="Times New Roman" w:hAnsi="Times New Roman" w:cs="Times New Roman"/>
          <w:sz w:val="22"/>
          <w:szCs w:val="22"/>
        </w:rPr>
        <w:t xml:space="preserve"> iż zapoznał się ze stanem faktycznym, prawnym </w:t>
      </w:r>
      <w:r w:rsidR="00043461">
        <w:rPr>
          <w:rFonts w:ascii="Times New Roman" w:hAnsi="Times New Roman" w:cs="Times New Roman"/>
          <w:sz w:val="22"/>
          <w:szCs w:val="22"/>
        </w:rPr>
        <w:t xml:space="preserve"> </w:t>
      </w:r>
      <w:r w:rsidR="00DB5BDD" w:rsidRPr="00DD14D3">
        <w:rPr>
          <w:rFonts w:ascii="Times New Roman" w:hAnsi="Times New Roman" w:cs="Times New Roman"/>
          <w:sz w:val="22"/>
          <w:szCs w:val="22"/>
        </w:rPr>
        <w:t>i technicznym nieruchomości położonej w Świętochłowicach przy ul. Góra Hugona (działki nr 3661, 4313 oraz 4314 o łącznej powierzchni 106 746 m</w:t>
      </w:r>
      <w:r w:rsidR="00DB5BDD" w:rsidRPr="00DD14D3">
        <w:rPr>
          <w:rFonts w:ascii="Times New Roman" w:hAnsi="Times New Roman" w:cs="Times New Roman"/>
          <w:sz w:val="22"/>
          <w:szCs w:val="22"/>
          <w:vertAlign w:val="superscript"/>
        </w:rPr>
        <w:t>2</w:t>
      </w:r>
      <w:r w:rsidR="00DB5BDD" w:rsidRPr="00DD14D3">
        <w:rPr>
          <w:rFonts w:ascii="Times New Roman" w:hAnsi="Times New Roman" w:cs="Times New Roman"/>
          <w:sz w:val="22"/>
          <w:szCs w:val="22"/>
        </w:rPr>
        <w:t>)</w:t>
      </w:r>
      <w:r w:rsidR="0023503B">
        <w:rPr>
          <w:rFonts w:ascii="Times New Roman" w:hAnsi="Times New Roman" w:cs="Times New Roman"/>
          <w:sz w:val="22"/>
          <w:szCs w:val="22"/>
        </w:rPr>
        <w:t xml:space="preserve"> będącej przedmiotem przetargu.</w:t>
      </w:r>
    </w:p>
    <w:p w:rsidR="004A5037" w:rsidRPr="00DD14D3" w:rsidRDefault="004A5037" w:rsidP="00E75A44">
      <w:pPr>
        <w:pStyle w:val="bodytext"/>
        <w:spacing w:before="0" w:beforeAutospacing="0" w:after="0" w:afterAutospacing="0" w:line="360" w:lineRule="auto"/>
        <w:ind w:firstLine="708"/>
        <w:jc w:val="both"/>
        <w:rPr>
          <w:sz w:val="22"/>
          <w:szCs w:val="22"/>
        </w:rPr>
      </w:pPr>
      <w:r>
        <w:rPr>
          <w:sz w:val="22"/>
          <w:szCs w:val="22"/>
        </w:rPr>
        <w:t>Z w/w stanu faktycznego i</w:t>
      </w:r>
      <w:r w:rsidR="00043461">
        <w:rPr>
          <w:sz w:val="22"/>
          <w:szCs w:val="22"/>
        </w:rPr>
        <w:t xml:space="preserve"> prawnego wynika, iż podniesione</w:t>
      </w:r>
      <w:r>
        <w:rPr>
          <w:sz w:val="22"/>
          <w:szCs w:val="22"/>
        </w:rPr>
        <w:t xml:space="preserve"> w przedmiotowej skardze zarzuty                          w żaden sposób nie mogły wpłynąć na wynik przetargu.</w:t>
      </w:r>
    </w:p>
    <w:p w:rsidR="007833C7" w:rsidRDefault="007833C7" w:rsidP="001B0E25">
      <w:pPr>
        <w:spacing w:before="0" w:after="0"/>
        <w:jc w:val="both"/>
        <w:rPr>
          <w:rFonts w:ascii="Times New Roman" w:hAnsi="Times New Roman" w:cs="Times New Roman"/>
          <w:sz w:val="22"/>
          <w:szCs w:val="22"/>
        </w:rPr>
      </w:pPr>
    </w:p>
    <w:p w:rsidR="000E17A3" w:rsidRDefault="000E17A3" w:rsidP="000E17A3">
      <w:pPr>
        <w:spacing w:before="0" w:after="0"/>
        <w:ind w:left="4956" w:firstLine="708"/>
        <w:jc w:val="both"/>
        <w:rPr>
          <w:rFonts w:ascii="Times New Roman" w:hAnsi="Times New Roman" w:cs="Times New Roman"/>
          <w:sz w:val="22"/>
          <w:szCs w:val="22"/>
        </w:rPr>
      </w:pPr>
      <w:r>
        <w:rPr>
          <w:rFonts w:ascii="Times New Roman" w:hAnsi="Times New Roman" w:cs="Times New Roman"/>
          <w:sz w:val="22"/>
          <w:szCs w:val="22"/>
        </w:rPr>
        <w:t>Z up. Prezydenta Miasta</w:t>
      </w:r>
    </w:p>
    <w:p w:rsidR="000E17A3" w:rsidRDefault="000E17A3" w:rsidP="000E17A3">
      <w:pPr>
        <w:spacing w:before="0" w:after="0"/>
        <w:ind w:left="4956"/>
        <w:jc w:val="both"/>
        <w:rPr>
          <w:rFonts w:ascii="Times New Roman" w:hAnsi="Times New Roman" w:cs="Times New Roman"/>
          <w:sz w:val="22"/>
          <w:szCs w:val="22"/>
        </w:rPr>
      </w:pPr>
      <w:r>
        <w:rPr>
          <w:rFonts w:ascii="Times New Roman" w:hAnsi="Times New Roman" w:cs="Times New Roman"/>
          <w:sz w:val="22"/>
          <w:szCs w:val="22"/>
        </w:rPr>
        <w:t>Pierwszy Zastępca Prezydenta Miasta</w:t>
      </w:r>
    </w:p>
    <w:p w:rsidR="000E17A3" w:rsidRPr="00DD14D3" w:rsidRDefault="000E17A3" w:rsidP="000E17A3">
      <w:pPr>
        <w:spacing w:before="0" w:after="0"/>
        <w:ind w:left="4956" w:firstLine="708"/>
        <w:jc w:val="both"/>
        <w:rPr>
          <w:rFonts w:ascii="Times New Roman" w:hAnsi="Times New Roman" w:cs="Times New Roman"/>
          <w:sz w:val="22"/>
          <w:szCs w:val="22"/>
        </w:rPr>
      </w:pPr>
      <w:bookmarkStart w:id="0" w:name="_GoBack"/>
      <w:bookmarkEnd w:id="0"/>
      <w:r>
        <w:rPr>
          <w:rFonts w:ascii="Times New Roman" w:hAnsi="Times New Roman" w:cs="Times New Roman"/>
          <w:sz w:val="22"/>
          <w:szCs w:val="22"/>
        </w:rPr>
        <w:t>/-/ Bartosz Karcz</w:t>
      </w:r>
    </w:p>
    <w:sectPr w:rsidR="000E17A3" w:rsidRPr="00DD14D3" w:rsidSect="00F111E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AB9" w:rsidRDefault="00187AB9" w:rsidP="004A5037">
      <w:pPr>
        <w:spacing w:before="0" w:after="0" w:line="240" w:lineRule="auto"/>
      </w:pPr>
      <w:r>
        <w:separator/>
      </w:r>
    </w:p>
  </w:endnote>
  <w:endnote w:type="continuationSeparator" w:id="0">
    <w:p w:rsidR="00187AB9" w:rsidRDefault="00187AB9" w:rsidP="004A50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yriad Pro">
    <w:altName w:val="Arial"/>
    <w:charset w:val="00"/>
    <w:family w:val="swiss"/>
    <w:pitch w:val="variable"/>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037" w:rsidRDefault="004A5037" w:rsidP="00D3346A">
    <w:pPr>
      <w:pStyle w:val="Stopka"/>
    </w:pPr>
  </w:p>
  <w:p w:rsidR="004A5037" w:rsidRDefault="004A50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AB9" w:rsidRDefault="00187AB9" w:rsidP="004A5037">
      <w:pPr>
        <w:spacing w:before="0" w:after="0" w:line="240" w:lineRule="auto"/>
      </w:pPr>
      <w:r>
        <w:separator/>
      </w:r>
    </w:p>
  </w:footnote>
  <w:footnote w:type="continuationSeparator" w:id="0">
    <w:p w:rsidR="00187AB9" w:rsidRDefault="00187AB9" w:rsidP="004A503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037" w:rsidRDefault="00D3346A">
    <w:pPr>
      <w:pStyle w:val="Nagwek"/>
    </w:pPr>
    <w:r>
      <w:rPr>
        <w:noProof/>
        <w:lang w:eastAsia="pl-PL"/>
      </w:rPr>
      <w:drawing>
        <wp:anchor distT="0" distB="0" distL="0" distR="0" simplePos="0" relativeHeight="251658240" behindDoc="1" locked="0" layoutInCell="1" allowOverlap="1">
          <wp:simplePos x="0" y="0"/>
          <wp:positionH relativeFrom="column">
            <wp:posOffset>-1128395</wp:posOffset>
          </wp:positionH>
          <wp:positionV relativeFrom="paragraph">
            <wp:posOffset>-335280</wp:posOffset>
          </wp:positionV>
          <wp:extent cx="7559040" cy="10687050"/>
          <wp:effectExtent l="19050" t="0" r="381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9040" cy="1068705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6605"/>
    <w:multiLevelType w:val="hybridMultilevel"/>
    <w:tmpl w:val="9184E002"/>
    <w:lvl w:ilvl="0" w:tplc="3D6824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42B2648"/>
    <w:multiLevelType w:val="hybridMultilevel"/>
    <w:tmpl w:val="BB82E87C"/>
    <w:lvl w:ilvl="0" w:tplc="3D682444">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B64647"/>
    <w:rsid w:val="00030FA4"/>
    <w:rsid w:val="00043461"/>
    <w:rsid w:val="000A3D96"/>
    <w:rsid w:val="000E17A3"/>
    <w:rsid w:val="00110857"/>
    <w:rsid w:val="00187AB9"/>
    <w:rsid w:val="001B0E25"/>
    <w:rsid w:val="0023503B"/>
    <w:rsid w:val="003C7924"/>
    <w:rsid w:val="003F12A7"/>
    <w:rsid w:val="00412A95"/>
    <w:rsid w:val="00432894"/>
    <w:rsid w:val="00462CA0"/>
    <w:rsid w:val="004A5037"/>
    <w:rsid w:val="004D2A69"/>
    <w:rsid w:val="00546D81"/>
    <w:rsid w:val="00572E4C"/>
    <w:rsid w:val="005B775A"/>
    <w:rsid w:val="005F0A61"/>
    <w:rsid w:val="00636D3C"/>
    <w:rsid w:val="00656859"/>
    <w:rsid w:val="006E0ABF"/>
    <w:rsid w:val="007833C7"/>
    <w:rsid w:val="00A04B13"/>
    <w:rsid w:val="00A44B2E"/>
    <w:rsid w:val="00B64647"/>
    <w:rsid w:val="00B8727F"/>
    <w:rsid w:val="00CA7FEA"/>
    <w:rsid w:val="00CE1938"/>
    <w:rsid w:val="00D3346A"/>
    <w:rsid w:val="00D971D1"/>
    <w:rsid w:val="00DB5BDD"/>
    <w:rsid w:val="00DD14D3"/>
    <w:rsid w:val="00DD7563"/>
    <w:rsid w:val="00E74895"/>
    <w:rsid w:val="00E75A44"/>
    <w:rsid w:val="00EA0B84"/>
    <w:rsid w:val="00F111E3"/>
    <w:rsid w:val="00F82F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4C64B007-6670-4F01-9841-838EC218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2A95"/>
    <w:pPr>
      <w:suppressAutoHyphens/>
      <w:spacing w:before="120" w:after="120" w:line="360" w:lineRule="auto"/>
    </w:pPr>
    <w:rPr>
      <w:rFonts w:ascii="Myriad Pro" w:eastAsia="Times New Roman" w:hAnsi="Myriad Pro" w:cs="Myriad Pro"/>
      <w:color w:val="000000"/>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2A95"/>
    <w:pPr>
      <w:ind w:left="720"/>
      <w:contextualSpacing/>
    </w:pPr>
  </w:style>
  <w:style w:type="paragraph" w:styleId="NormalnyWeb">
    <w:name w:val="Normal (Web)"/>
    <w:basedOn w:val="Normalny"/>
    <w:uiPriority w:val="99"/>
    <w:unhideWhenUsed/>
    <w:rsid w:val="004D2A69"/>
    <w:pPr>
      <w:suppressAutoHyphens w:val="0"/>
      <w:spacing w:before="100" w:beforeAutospacing="1" w:after="100" w:afterAutospacing="1" w:line="240" w:lineRule="auto"/>
    </w:pPr>
    <w:rPr>
      <w:rFonts w:ascii="Times New Roman" w:hAnsi="Times New Roman" w:cs="Times New Roman"/>
      <w:color w:val="auto"/>
      <w:lang w:eastAsia="pl-PL"/>
    </w:rPr>
  </w:style>
  <w:style w:type="paragraph" w:customStyle="1" w:styleId="bodytext">
    <w:name w:val="bodytext"/>
    <w:basedOn w:val="Normalny"/>
    <w:rsid w:val="00DD14D3"/>
    <w:pPr>
      <w:suppressAutoHyphens w:val="0"/>
      <w:spacing w:before="100" w:beforeAutospacing="1" w:after="100" w:afterAutospacing="1" w:line="240" w:lineRule="auto"/>
    </w:pPr>
    <w:rPr>
      <w:rFonts w:ascii="Times New Roman" w:hAnsi="Times New Roman" w:cs="Times New Roman"/>
      <w:color w:val="auto"/>
      <w:lang w:eastAsia="pl-PL"/>
    </w:rPr>
  </w:style>
  <w:style w:type="paragraph" w:styleId="Nagwek">
    <w:name w:val="header"/>
    <w:basedOn w:val="Normalny"/>
    <w:link w:val="NagwekZnak"/>
    <w:uiPriority w:val="99"/>
    <w:semiHidden/>
    <w:unhideWhenUsed/>
    <w:rsid w:val="004A5037"/>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semiHidden/>
    <w:rsid w:val="004A5037"/>
    <w:rPr>
      <w:rFonts w:ascii="Myriad Pro" w:eastAsia="Times New Roman" w:hAnsi="Myriad Pro" w:cs="Myriad Pro"/>
      <w:color w:val="000000"/>
      <w:sz w:val="24"/>
      <w:szCs w:val="24"/>
      <w:lang w:eastAsia="ar-SA"/>
    </w:rPr>
  </w:style>
  <w:style w:type="paragraph" w:styleId="Stopka">
    <w:name w:val="footer"/>
    <w:basedOn w:val="Normalny"/>
    <w:link w:val="StopkaZnak"/>
    <w:uiPriority w:val="99"/>
    <w:unhideWhenUsed/>
    <w:rsid w:val="004A5037"/>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4A5037"/>
    <w:rPr>
      <w:rFonts w:ascii="Myriad Pro" w:eastAsia="Times New Roman" w:hAnsi="Myriad Pro" w:cs="Myriad Pro"/>
      <w:color w:val="000000"/>
      <w:sz w:val="24"/>
      <w:szCs w:val="24"/>
      <w:lang w:eastAsia="ar-SA"/>
    </w:rPr>
  </w:style>
  <w:style w:type="paragraph" w:styleId="Tekstdymka">
    <w:name w:val="Balloon Text"/>
    <w:basedOn w:val="Normalny"/>
    <w:link w:val="TekstdymkaZnak"/>
    <w:uiPriority w:val="99"/>
    <w:semiHidden/>
    <w:unhideWhenUsed/>
    <w:rsid w:val="000E17A3"/>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17A3"/>
    <w:rPr>
      <w:rFonts w:ascii="Segoe UI" w:eastAsia="Times New Roman"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8126">
      <w:bodyDiv w:val="1"/>
      <w:marLeft w:val="0"/>
      <w:marRight w:val="0"/>
      <w:marTop w:val="0"/>
      <w:marBottom w:val="0"/>
      <w:divBdr>
        <w:top w:val="none" w:sz="0" w:space="0" w:color="auto"/>
        <w:left w:val="none" w:sz="0" w:space="0" w:color="auto"/>
        <w:bottom w:val="none" w:sz="0" w:space="0" w:color="auto"/>
        <w:right w:val="none" w:sz="0" w:space="0" w:color="auto"/>
      </w:divBdr>
    </w:div>
    <w:div w:id="665594261">
      <w:bodyDiv w:val="1"/>
      <w:marLeft w:val="0"/>
      <w:marRight w:val="0"/>
      <w:marTop w:val="0"/>
      <w:marBottom w:val="0"/>
      <w:divBdr>
        <w:top w:val="none" w:sz="0" w:space="0" w:color="auto"/>
        <w:left w:val="none" w:sz="0" w:space="0" w:color="auto"/>
        <w:bottom w:val="none" w:sz="0" w:space="0" w:color="auto"/>
        <w:right w:val="none" w:sz="0" w:space="0" w:color="auto"/>
      </w:divBdr>
      <w:divsChild>
        <w:div w:id="1020624736">
          <w:marLeft w:val="0"/>
          <w:marRight w:val="0"/>
          <w:marTop w:val="0"/>
          <w:marBottom w:val="0"/>
          <w:divBdr>
            <w:top w:val="none" w:sz="0" w:space="0" w:color="auto"/>
            <w:left w:val="none" w:sz="0" w:space="0" w:color="auto"/>
            <w:bottom w:val="none" w:sz="0" w:space="0" w:color="auto"/>
            <w:right w:val="none" w:sz="0" w:space="0" w:color="auto"/>
          </w:divBdr>
          <w:divsChild>
            <w:div w:id="1587810537">
              <w:marLeft w:val="0"/>
              <w:marRight w:val="0"/>
              <w:marTop w:val="0"/>
              <w:marBottom w:val="0"/>
              <w:divBdr>
                <w:top w:val="none" w:sz="0" w:space="0" w:color="auto"/>
                <w:left w:val="none" w:sz="0" w:space="0" w:color="auto"/>
                <w:bottom w:val="none" w:sz="0" w:space="0" w:color="auto"/>
                <w:right w:val="none" w:sz="0" w:space="0" w:color="auto"/>
              </w:divBdr>
              <w:divsChild>
                <w:div w:id="1621766250">
                  <w:marLeft w:val="0"/>
                  <w:marRight w:val="0"/>
                  <w:marTop w:val="0"/>
                  <w:marBottom w:val="0"/>
                  <w:divBdr>
                    <w:top w:val="none" w:sz="0" w:space="0" w:color="auto"/>
                    <w:left w:val="none" w:sz="0" w:space="0" w:color="auto"/>
                    <w:bottom w:val="none" w:sz="0" w:space="0" w:color="auto"/>
                    <w:right w:val="none" w:sz="0" w:space="0" w:color="auto"/>
                  </w:divBdr>
                  <w:divsChild>
                    <w:div w:id="17376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9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1141</Words>
  <Characters>6849</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p.mleczaklosik</dc:creator>
  <cp:lastModifiedBy>p.mleczaklosik</cp:lastModifiedBy>
  <cp:revision>3</cp:revision>
  <cp:lastPrinted>2018-04-09T14:26:00Z</cp:lastPrinted>
  <dcterms:created xsi:type="dcterms:W3CDTF">2018-04-09T14:24:00Z</dcterms:created>
  <dcterms:modified xsi:type="dcterms:W3CDTF">2018-04-09T14:28:00Z</dcterms:modified>
</cp:coreProperties>
</file>